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18 174 vom 8. Februar 2019</w:t>
      </w:r>
    </w:p>
    <w:p>
      <w:r>
        <w:t>VS Kantonsgericht, 2019-02-08, DE</w:t>
      </w:r>
    </w:p>
    <w:p>
      <w:r>
        <w:rPr>
          <w:b/>
        </w:rPr>
        <w:t xml:space="preserve">Quelle: </w:t>
      </w:r>
      <w:r>
        <w:t>https://mcp.opencaselaw.ch/entscheid/vs_gerichte_A1 18 174</w:t>
      </w:r>
    </w:p>
    <w:p>
      <w:r>
        <w:t>FR: VS_GERICHTE A1 18 174 du 8 février 2019</w:t>
      </w:r>
    </w:p>
    <w:p>
      <w:r>
        <w:t>IT: VS_GERICHTE A1 18 174 del 8 febbraio 2019</w:t>
      </w:r>
    </w:p>
    <w:p>
      <w:pPr>
        <w:pStyle w:val="Heading2"/>
      </w:pPr>
      <w:r>
        <w:t>Regeste</w:t>
      </w:r>
    </w:p>
    <w:p>
      <w:r>
        <w:t>A1 18 174 A2 18 81 URTEIL VOM 8. FEBRUAR 2019 Kantonsgericht Wallis Öffentlichrechtliche Abteilung Es wirken mit: Thomas Brunner, Präsident, Jean-Bernard Fournier und Christophe Joris, Richter, sowie Samira Stoffel, Gerichtsschreiberin, in Sachen X _________, vertreten durch Rechtsanwalt M _________, gegen STAATSRAT DES KANTONS WALLIS, 1950 Sitten, (Bildungswesen) Verwaltungsgerichtsbeschwerde gegen den Entscheid vom 6. Juli 2018.</w:t>
      </w:r>
    </w:p>
    <w:p>
      <w:pPr>
        <w:pStyle w:val="Heading2"/>
      </w:pPr>
      <w:r>
        <w:t>Erwägungen</w:t>
      </w:r>
    </w:p>
    <w:p>
      <w:r>
        <w:rPr>
          <w:b/>
        </w:rPr>
        <w:t>E. 5</w:t>
      </w:r>
    </w:p>
    <w:p>
      <w:r>
        <w:t>In der Sache macht der Beschwerdeführer geltend, es treffe nicht zu, dass nur beim Tode oder bei 100prozentiger Invalidität des Darle- hensnehmers rechtfertigende Umstände für Rückzahlungserleichterun- gen oder den Erlass des Darlehens bestehen würden. Auch die Pflicht zur Gewährung der Kunstfreiheit würde dafür sprechen, dass prekäre finanzielle Verhältnisse rechtfertigende Umstände im Sinne von Art. 13 des alten Gesetzes betreffend die Gewährung von Stipendien und Ausbildungsdarlehen vom 14. Mai 1986 (GGSA) darstellen würden.</w:t>
      </w:r>
    </w:p>
    <w:p>
      <w:r>
        <w:rPr>
          <w:b/>
        </w:rPr>
        <w:t>E. 5.1</w:t>
      </w:r>
    </w:p>
    <w:p>
      <w:r>
        <w:t>Gemäss Art. 1 GGSA gewährt der Kanton an die durch die Vorbe- reitung zur Ausbildung, die Ausbildung selber und die Weiterbildung verursachten Kosten u. a. Ausbildungsdarlehen, wobei die Finanzie- rung einer Ausbildung an erster Stelle den Eltern obliegt und subsidiär den anderen gesetzlichen Verantwortlichen und dem Gesuchsteller sel- ber (vgl. Art. 1 Abs. 2 GGSA und Art. 3 des Gesetzes über die Ausbil- dungsbeiträge vom 18. November 2010 [GAB; SGS/VS 416.1]). Dabei sind die Bestimmungen des Subventionsgesetzes vollumfänglich anwendbar (Art. 1 Abs. 2 GGSA). Gemäss Art. 12 Abs. 1 GGSA sind die Ausbildungsdarlehen spätestens innert zehn Jahren nach Beginn des dritten Jahres, das auf den Studienabschluss folgt, zurückzu- zahlen. Sie sind nach Beginn der Rückzahlungspflicht zu verzinsen (Art. 12 Abs. 2 GGSA). Gemäss Art. 13 Abs. 1 GGSA können Rück- zahlungserleichterungen oder der Erlass von Darlehen gewährt wer- den, «wenn dies besondere Verhältnisse rechtfertigen».</w:t>
      </w:r>
    </w:p>
    <w:p>
      <w:r>
        <w:rPr>
          <w:b/>
        </w:rPr>
        <w:t>E. 5.2</w:t>
      </w:r>
    </w:p>
    <w:p>
      <w:r>
        <w:t>Das kantonale Subventionsgesetz vom 13. November 1995 (SuG; SGS/VS 616.1) gilt grundsätzlich für sämtliche kantonalen Subven- tionen (Art. 3 SuG) und zielt darauf ab, eine einheitliche Rechtsgrund- lage zu schaffen, die Subventionen nach gleichen Grundsätzen zu gewähren und die öffentlichen Gelder wirkungsorientiert und sparsam zu verwenden (Art. 1 lit. a und b SuG; vgl. Klaus A. Vallender/Peter Hettich/Jens Lehne, Wirtschaftsfreiheit und begrenzte Staatsverantwor- tung: Grundzüge des Wirtschaftsverfassungs- und Wirtschaftsverwal- tungsrechts, 4. A., 2006, S. 316 Rz. 79 mit Hinweisen). Gemäss Art. 4 Abs. 1 SuG sind Subventionen geldwerte Leistungen, die der Staat auf- grund des kantonalen öffentlichen Rechts zur Wahrung eines öffentli- chen Interesses an Dritte leistet, ohne Anspruch auf direkte Gegen- leistung.</w:t>
      </w:r>
    </w:p>
    <w:p>
      <w:r>
        <w:t>RVJ / ZWR 2020</w:t>
      </w:r>
    </w:p>
    <w:p>
      <w:r>
        <w:t>37 Finanzhilfen sind Teil der Leistungsverwaltung, bei welcher der Staat Unterstützung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 nen: Die Rechtsschutzmöglichkeiten Privater im Subventionsverfahren des Bundes unter Berücksichtigung der neueren Entwicklungen des nationalen und internationalen Subventions- und Beihilferechts, Basel 2006, S. 24 ff. mit weiteren Hinweisen). Man unterscheidet zwischen direkten und indirekten Subventionen. Eine direkte Subvention liegt vor, wenn das Gemeinwesen eine positive Leistung erbringt. Um eine indirekte Subvention handelt es sich dagegen, wenn die Vergünstigung im Verzicht des Gemeinwesens auf eine ihm zustehende Einnahme besteht (Ulrich Häfelin/Georg Müller/Felix Uhlmann, Allgemeines Ver- waltungsrecht, 7. A., 2016, N. 2526). Gemäss Art. 6 Abs. 1 SuG besteht ein Rechtsanspruch auf Abgeltungen, wenn der Gesuchsteller die erforderlichen Voraussetzungen erfüllt, während auf Finanzhilfen grundsätzlich kein Rechtsanspruch besteht, ausser für die in der Spezialgesetzgebung vorgesehenen Fälle (Abs. 2).</w:t>
      </w:r>
    </w:p>
    <w:p>
      <w:r>
        <w:rPr>
          <w:b/>
        </w:rPr>
        <w:t>E. 5.3</w:t>
      </w:r>
    </w:p>
    <w:p>
      <w:r>
        <w:t>Nach der bundesgerichtlichen Rechtsprechung ist ein Anspruch auf einen Beitrag zu bejahen, wenn das Recht selber die Bedingungen umschreibt, unter welchen Leistungen zu gewähren sind, ohne dass es im Ermessen der gesetzesanwendenden Behörde läge, ob sie einen Beitrag gewähren will oder nicht (BGE 138 II 191 E. 4.2.4 und 118 V 16 E. 3a mit Hinweisen). Beiträge, deren Ausrichtung im Ermessen der Behörden liegen, werden in Lehre und Rechtsprechung auch Ermes- senssubventionen – als Gegenteil zu Anspruchssubventionen – genannt. Liegt eine Ermessenssubvention vor, besteht kein Anspruch auf Subventionen (Urteil des Bundesverwaltungsgerichts B-2184/2017 vom 7. Februar 2018 E. 4.3.1; vgl. Barbara Schaerer, Subventionen des Bundes, 1. A., 1992, S. 173 ff. und 201-202).</w:t>
      </w:r>
    </w:p>
    <w:p>
      <w:r>
        <w:rPr>
          <w:b/>
        </w:rPr>
        <w:t>E. 5.4</w:t>
      </w:r>
    </w:p>
    <w:p>
      <w:r>
        <w:t>Vorliegend besteht auf die ersuchte Finanzhilfe bzw. den Darlehens- erlass kein Anspruch (sog. Ermessenssubventionen; vgl. Urteil des Bun- desverwaltungsgerichts B-5798/2017 vom 24. Oktober 2018 E. 2.3.1). Es handelt sich somit um Finanzhilfen, deren Zusprache im Ermessen der Vorinstanz liegt. Der Vorinstanz wird dadurch ein Spielraum für den Ent- scheid im Einzelfall eingeräumt. Dies bedeutet aber nicht, dass sie in</w:t>
      </w:r>
    </w:p>
    <w:p>
      <w:r>
        <w:t>38 RVJ / ZWR 2020 ihrer Entscheidung völlig frei ist. Sie hat innerhalb ihres Entscheidungs- spielraums unter Berücksichtigung der Rechtsgrundsätze der Ermes- sensausübung die zweckmässigste Lösung zu treffen. Sie ist dabei an die Verfassung gebunden und hat insbesondere das Rechtsgleichheits- gebot und das Verhältnismässigkeitsprinzip zu befolgen. Die öffentlichen Interessen sind zu wahren und Sinn und Zweck der gesetzlichen Ordnung zu beachten, namentlich die das betreffende Gebiet beherr- schenden Rechtsgrundsätze. Der Entscheid darf ferner nicht willkürlich sein (Ulrich Häfelin/Georg Müller/Felix Uhlmann, a.a.O., N. 409). Im Falle von Ermessenssubventionen erstellen die Departemente bei be- schränkten finanziellen Mitteln eine Prioritätenordnung, nach der die Gesuche beurteilt werden. Leitendes Prinzip ist dabei die Gleichbehand- lung der Gesuchstellenden. Prioritätenordnungen sollen eine einheitli- che Verwaltungspraxis durch Selbstbindung der Behörde gewährleisten (vgl. Urteile des Bundesverwaltungsgerichts B-2184/ 2017 vom</w:t>
      </w:r>
    </w:p>
    <w:p>
      <w:r>
        <w:rPr>
          <w:b/>
        </w:rPr>
        <w:t>E. 5.5</w:t>
      </w:r>
    </w:p>
    <w:p>
      <w:r>
        <w:t>Im vorliegenden Fall ergibt sich aus den Akten, dass der Beschwer- deführer an die Sektion Ausbildungsbeiträge gelangte mit dem Antrag, die Konditionen zu besprechen, da ihm die Rückzahlung des Darlehens «schwer» falle. Nachdem das DBS vom Beschwerdeführer einen Vorschlag betreffend die Rückzahlungsmodalitäten und die Begrün- dung dazu verlangte, reichte dieser eine eingehende Begründung ein und ersuchte um «eine Reduktion des Schuldvolumens oder den Verzicht auf die fälligen Zinsen während den nächsten fünf Jahren». Dazu gab die kantonale Kommission für Ausbildungsbeiträge eine negative Vormeinung ab und der Leiter der Sektion Ausbildungsbei- träge hielt im Rapport fest, dass die Kommission auf Erlassgesuche nur im Falle eines Todes oder einer Invalidität von 100 % eintrete. Daraufhin wies das Departement mit Verfügung das Gesuch des Beschwerde- führers auf Teilerlass der Schuld oder auf zeitweilige Aussetzung der Verzinsung ab. Im gleichen Sinne hat auch der Staatsrat entschieden, wobei er auf den weiten Ermessensspielraum, das Gleichstellungs- gebot und die konstante Praxis verwies. Hier ist ersichtlich, dass sich die Vorinstanzen an den Prinzipien der Rechtsprechung orientierten, wonach als leitendes Prinzip die Erlassbewilligungen strikte auf zwei</w:t>
      </w:r>
    </w:p>
    <w:p>
      <w:r>
        <w:t>RVJ / ZWR 2020</w:t>
      </w:r>
    </w:p>
    <w:p>
      <w:r>
        <w:t>39 Fälle (Tod und Invalidität) beschränkt werden, diesbezüglich bisher eine einheitliche Praxis bestand, die Gleichbehandlung aller Gesuchstellen- den eingehalten wird und die Verwaltung sich dadurch eine Selbstbin- dung auferlegt (vgl. Urteil des Kantonsgerichts A1 16 92 vom 12. August 2016 E. 1). Dies ist nicht zu beanstanden. Der Beschwerdeführer wen- det dagegen ein, auch prekäre finanzielle Verhältnisse würden rechtfer- tigende Umstände im Sinne von Art. 13 GGSA darstellen. Durch die Kunstfreiheit gemäss Art. 21 BV müsse gewährleistet sein, dass die Künstler Kunst schaffen könnten. Künstler in prekären finanziellen Verhältnissen könnten durch die Pflicht, ein Darlehen zurückzahlen zu müssen, in die Lage geraten, aufhören zu müssen, Künstler zu sein. Die Pflicht zur Gewährung der Kunstfreiheit spreche also dafür, dass pre- käre finanzielle Verhältnisse als rechtfertigende Umstände zu betrach- ten seien. Hierzu ist Folgendes auszuführen.</w:t>
      </w:r>
    </w:p>
    <w:p>
      <w:r>
        <w:rPr>
          <w:b/>
        </w:rPr>
        <w:t>E. 5.6</w:t>
      </w:r>
    </w:p>
    <w:p>
      <w:r>
        <w:t>Gemäss Art. 21 BV ist die Freiheit der Kunst gewährleistet. Der Schutzbereich der Kunst umfasst die Künstler und ihre Werke sowie die Präsentation der Kunst (Christoph Meyer/Felix Hafner, in: Bernhard Ehrenzeller [Hrsg.], Die Schweizerische Bundesverfassung, St. Galler Kommentar, 3. A., 2014, N. 6 ff. zu Art. 21 BV). Die Kunstfreiheit ist ein klassisches Abwehrrecht. Sie garantiert das Schaffen von Kunst sowie das Kunstwerk selber (Werkbereich), aber auch die an die Öffentlichkeit gerichtete Präsentation und Vermittlung von Kunst (Wirkbereich). Der Einzelne ist insbesondere im Schaffen, Verbreiten, Fördern, Ausstellen oder Besitzen von Kunst geschützt (Regina Kiener/Walter Kälin/Judith Wyttenbach, Grundrechte, 3. A., 2018, S. 289 f.). Von praktischer Bedeutung der Kunstfreiheit ist neben dem Schutz vor Staatseingriffen die Bereitschaft der politischen Behörden zur finanziellen Unter- stützung der Künste (vgl. Art. 69 Abs. 2 BV [Kunstförderung]; hierzu und nachfolgen Christoph Meyer/Felix Hafner, in: Bernhard Ehrenzeller [Hrsg.], a.a.O., N. 7 zu Art. 21 BV). Es ist ein Anliegen der staatlichen Kunst- und Kulturförderung, dass in einem fairen Verfahren über die Zuteilung der verfügbaren Mittel entschieden und das Diskriminierungs- verbot beachtet wird. Die Kunstfreiheit vermittelt jedoch nach Lehre und Rechtsprechung keinen einklagbaren Anspruch auf staatliche Leistun- gen (vgl. Botschaft Bundesverfassung, BBl 1997 I S. 164; Regina Kiener/Walter Kälin/Judith Wyttenbach, a.a.O., S. 290).</w:t>
      </w:r>
    </w:p>
    <w:p>
      <w:r>
        <w:rPr>
          <w:b/>
        </w:rPr>
        <w:t>E. 5.6.1</w:t>
      </w:r>
    </w:p>
    <w:p>
      <w:r>
        <w:t>Auf Bundesebene wurde zur Förderung u. a. der Kunst das Bun- desgesetz über die Kulturförderung vom 11. Dezember 2009 (KFG; SR 442.1) erlassen. Gemäss Art. 1 lit. a KFG regelt dieses Gesetz die</w:t>
      </w:r>
    </w:p>
    <w:p>
      <w:r>
        <w:t>40 RVJ / ZWR 2020 Kulturförderung des Bundes in den Bereichen Bewahrung des kulturellen Erbes (Ziff. 1), Kunst- und Kulturschaffen einschliesslich Nachwuchs- förderung (Ziff. 2), Vermittlung von Kunst und Kultur (Ziff. 3), Austausch zwischen den kulturellen und sprachlichen Gemeinschaften in der Schweiz (Ziff. 4) und Kulturaustausch mit dem Ausland (Ziff. 5). In Art. 6 ff. KFG sind die allgemeinen Voraussetzungen aufgelistet, unter welchen der Bund Kulturförderung betreibt. Die Nachwuchsförderung ist dann in Art. 4 der Verordnung über die Förderung der Kultur vom 23. November 2011 (KFV; SR 442.11) umschrieben. In Art. 6 KFV ist die Unterstützung kultureller Organisationen vorgesehen. Als professionelle Kulturschaffende gelten nach Art. 6 Abs. 2 KFV natürliche Personen, die mit ihrer künstlerischen Tätigkeit mindestens die Hälfte ihres Lebensun- terhaltes finanzieren oder mindestens die Hälfte der Normalarbeitszeit für die künstlerische Tätigkeit einsetzen. Auch hier gilt, dass ein Anspruch auf Ausrichtung von Bundesbeiträgen nicht besteht (vgl. Rainer J. Schweizer, in: Bernhard Ehrenzeller [Hrsg.], a.a.O., N. 30 zu Art. 69 BV).</w:t>
      </w:r>
    </w:p>
    <w:p>
      <w:r>
        <w:rPr>
          <w:b/>
        </w:rPr>
        <w:t>E. 5.6.2</w:t>
      </w:r>
    </w:p>
    <w:p>
      <w:r>
        <w:t>Es ergibt sich, dass der Beschwerdeführer auch aus der Kunst- freiheit nichts zu seinen Gunsten ableiten kann. Er ist in seinem Werk- und Wirkbereich nicht eingeschränkt und kann seinem Kunstschaffen nachgehen. Aus der Kunstfreiheit kann er aber keinen finanziellen Rechtsanspruch ableiten. Bei der Unterzeichnung der Darlehensver- träge hat er sich verpflichtet, seine Schuld ab Beginn des dritten Jahres nach seinem Studienabschluss während den ersten drei Jahren in Monatsraten von Fr. x und ab dem vierten Jahr in Monatsraten von Fr. y und innert 10 Jahren zu tilgen. Es ist wohl vorgesehen, dass ein Studium in aller Regel dazu dient, zu einem späteren Zeitpunkt ein Einkommen erzielen zu können und es dürfte die Rückzahlung eines Ausbildungskredites bei planmässigem Verlauf des Studiums regel- mässig keine Schwierigkeiten bereiten. Das Studium wird kaum je reiner Selbstzweck sein, sondern weist durchaus einen Konnex zu einer zukünftigen Erwerbstätigkeit auf. Andernfalls ist die künstlerische Tätigkeit auf die Hälfte zu reduzieren (vgl. Art. 6 Abs. 2 KFV).</w:t>
      </w:r>
    </w:p>
    <w:p>
      <w:r>
        <w:rPr>
          <w:b/>
        </w:rPr>
        <w:t>E. 7</w:t>
      </w:r>
    </w:p>
    <w:p>
      <w:r>
        <w:t>Februar 2018 E. 4.4.2 und C-4473/2012 vom 27. Januar 2014 E. 4.2 f., je mit Hinweisen). Innerhalb des verbleibenden Entscheidungsspiel- raums hat die Behörde die verfassungsrechtlichen Vorgaben zu beach- ten und ihr Ermessen pflichtgemäss auszuüben (vgl. Urteil des Bundes- verwaltungsgerichts B-2221/2016 vom 1. November 2017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